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82" w:rsidRDefault="008A1582" w:rsidP="008A15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HOTĂRÂRE nr. 811 din 2 noiembrie 2016</w:t>
      </w:r>
    </w:p>
    <w:p w:rsidR="00826CB2" w:rsidRDefault="008A1582" w:rsidP="008A15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privind înfiinţarea pe lângă </w:t>
      </w:r>
    </w:p>
    <w:p w:rsidR="00311FF6" w:rsidRDefault="008A1582" w:rsidP="008A15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Oficiul Naţional al Registrului Comerţului </w:t>
      </w:r>
    </w:p>
    <w:p w:rsidR="00826CB2" w:rsidRDefault="008A1582" w:rsidP="008A15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 unor activităţi finanţate integral din venituri proprii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lang w:eastAsia="ro-RO"/>
        </w:rPr>
      </w:pPr>
      <w:r w:rsidRPr="008A1582">
        <w:rPr>
          <w:rFonts w:ascii="Verdana" w:eastAsia="Times New Roman" w:hAnsi="Verdana" w:cs="Times New Roman"/>
          <w:lang w:eastAsia="ro-RO"/>
        </w:rPr>
        <w:br/>
      </w:r>
    </w:p>
    <w:p w:rsid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pa1"/>
      <w:bookmarkEnd w:id="0"/>
      <w:r w:rsidRPr="008A1582">
        <w:rPr>
          <w:rFonts w:ascii="Verdana" w:eastAsia="Times New Roman" w:hAnsi="Verdana" w:cs="Times New Roman"/>
          <w:lang w:eastAsia="ro-RO"/>
        </w:rPr>
        <w:t xml:space="preserve">În temeiul art. 108 din </w:t>
      </w:r>
      <w:hyperlink r:id="rId5" w:history="1">
        <w:r w:rsidRPr="008A158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Constituţia României</w:t>
        </w:r>
      </w:hyperlink>
      <w:r w:rsidRPr="008A1582">
        <w:rPr>
          <w:rFonts w:ascii="Verdana" w:eastAsia="Times New Roman" w:hAnsi="Verdana" w:cs="Times New Roman"/>
          <w:lang w:eastAsia="ro-RO"/>
        </w:rPr>
        <w:t xml:space="preserve">, republicată, şi al art. 67 din Legea nr. </w:t>
      </w:r>
      <w:hyperlink r:id="rId6" w:history="1">
        <w:r w:rsidRPr="008A1582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500/2002</w:t>
        </w:r>
      </w:hyperlink>
      <w:r w:rsidRPr="008A1582">
        <w:rPr>
          <w:rFonts w:ascii="Verdana" w:eastAsia="Times New Roman" w:hAnsi="Verdana" w:cs="Times New Roman"/>
          <w:lang w:eastAsia="ro-RO"/>
        </w:rPr>
        <w:t xml:space="preserve"> privind finanţele publice, cu modificările şi completările ulterioare,</w:t>
      </w:r>
    </w:p>
    <w:p w:rsid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2"/>
      <w:bookmarkEnd w:id="1"/>
      <w:r w:rsidRPr="008A1582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8A1582">
        <w:rPr>
          <w:rFonts w:ascii="Verdana" w:eastAsia="Times New Roman" w:hAnsi="Verdana" w:cs="Times New Roman"/>
          <w:lang w:eastAsia="ro-RO"/>
        </w:rPr>
        <w:t xml:space="preserve"> adoptă prezenta hotărâre.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8A1582">
        <w:rPr>
          <w:rFonts w:ascii="Verdana" w:eastAsia="Times New Roman" w:hAnsi="Verdana" w:cs="Times New Roman"/>
          <w:lang w:eastAsia="ro-RO"/>
        </w:rPr>
        <w:t>Se aprobă înfiinţarea pe lângă Oficiul Naţional al Registrului Comerţului a următoarelor activităţi finanţate integral din venituri proprii: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ar1|al1|lia"/>
      <w:bookmarkEnd w:id="2"/>
      <w:r w:rsidRPr="008A1582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8A1582">
        <w:rPr>
          <w:rFonts w:ascii="Verdana" w:eastAsia="Times New Roman" w:hAnsi="Verdana" w:cs="Times New Roman"/>
          <w:lang w:eastAsia="ro-RO"/>
        </w:rPr>
        <w:t>editarea şi consultarea în sistem electronic de culegeri de practică şi reviste în domeniul registrului comerţului şi al buletinului procedurilor de insolvenţă;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ar1|al1|lib"/>
      <w:bookmarkEnd w:id="3"/>
      <w:r w:rsidRPr="008A1582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8A1582">
        <w:rPr>
          <w:rFonts w:ascii="Verdana" w:eastAsia="Times New Roman" w:hAnsi="Verdana" w:cs="Times New Roman"/>
          <w:lang w:eastAsia="ro-RO"/>
        </w:rPr>
        <w:t>organizarea de seminare şi conferinţe în domeniul registrului comerţului şi al buletinului procedurilor de insolvenţă; efectuarea de studii, proiecte şi altele asemenea;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ar1|al1|lic"/>
      <w:bookmarkEnd w:id="4"/>
      <w:r w:rsidRPr="008A1582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8A1582">
        <w:rPr>
          <w:rFonts w:ascii="Verdana" w:eastAsia="Times New Roman" w:hAnsi="Verdana" w:cs="Times New Roman"/>
          <w:lang w:eastAsia="ro-RO"/>
        </w:rPr>
        <w:t>realizarea de lucrări statistice, sintetice sau analitice, pe două sau mai multe criterii, în domeniul registrului comerţului şi al buletinului procedurilor de insolvenţă;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ar1|al1|lid"/>
      <w:bookmarkEnd w:id="5"/>
      <w:r w:rsidRPr="008A1582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8A1582">
        <w:rPr>
          <w:rFonts w:ascii="Verdana" w:eastAsia="Times New Roman" w:hAnsi="Verdana" w:cs="Times New Roman"/>
          <w:lang w:eastAsia="ro-RO"/>
        </w:rPr>
        <w:t>realizarea de analize/rapoarte specializate, analize generale, sectoriale sau de conjunctură, în domeniul registrului comerţului şi al buletinului procedurilor de insolvenţă, pentru mediul de afaceri, cetăţeni, alte persoane interesate.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ar1|al2"/>
      <w:bookmarkEnd w:id="6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8A1582">
        <w:rPr>
          <w:rFonts w:ascii="Verdana" w:eastAsia="Times New Roman" w:hAnsi="Verdana" w:cs="Times New Roman"/>
          <w:lang w:eastAsia="ro-RO"/>
        </w:rPr>
        <w:t>Activităţile prevăzute la alin. (1) se desfăşoară de către Oficiul Naţional al Registrului Comerţului şi/sau oficiile registrului comerţului de pe lângă tribunale.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ar2|al1"/>
      <w:bookmarkEnd w:id="7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8A1582">
        <w:rPr>
          <w:rFonts w:ascii="Verdana" w:eastAsia="Times New Roman" w:hAnsi="Verdana" w:cs="Times New Roman"/>
          <w:lang w:eastAsia="ro-RO"/>
        </w:rPr>
        <w:t>Veniturile proprii se constituie din tariful obţinut din desfăşurarea activităţilor prevăzute la art. 1 alin. (1).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2|al2"/>
      <w:bookmarkEnd w:id="8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8A1582">
        <w:rPr>
          <w:rFonts w:ascii="Verdana" w:eastAsia="Times New Roman" w:hAnsi="Verdana" w:cs="Times New Roman"/>
          <w:lang w:eastAsia="ro-RO"/>
        </w:rPr>
        <w:t>Veniturile realizate se utilizează pentru acoperirea cheltuielilor aferente activităţilor finanţate integral din venituri proprii şi dezvoltarea acestor activităţi.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2|al3"/>
      <w:bookmarkEnd w:id="9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8A1582">
        <w:rPr>
          <w:rFonts w:ascii="Verdana" w:eastAsia="Times New Roman" w:hAnsi="Verdana" w:cs="Times New Roman"/>
          <w:lang w:eastAsia="ro-RO"/>
        </w:rPr>
        <w:t>Activităţile prevăzute la art. 1 alin. (1) se încadrează la acelaşi capitol bugetar la care este încadrat şi ordonatorul de credite pe lângă care s-au înfiinţat.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2|al4"/>
      <w:bookmarkEnd w:id="10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8A1582">
        <w:rPr>
          <w:rFonts w:ascii="Verdana" w:eastAsia="Times New Roman" w:hAnsi="Verdana" w:cs="Times New Roman"/>
          <w:lang w:eastAsia="ro-RO"/>
        </w:rPr>
        <w:t>Bugetul de venituri şi cheltuieli pentru activităţile prevăzute la art. 1 alin. (1) se aprobă odată cu bugetul Ministerului Justiţiei, conform prevederilor legale în vigoare.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2|al5"/>
      <w:bookmarkEnd w:id="11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(5)</w:t>
      </w:r>
      <w:r w:rsidRPr="008A1582">
        <w:rPr>
          <w:rFonts w:ascii="Verdana" w:eastAsia="Times New Roman" w:hAnsi="Verdana" w:cs="Times New Roman"/>
          <w:lang w:eastAsia="ro-RO"/>
        </w:rPr>
        <w:t>Pentru disponibilităţile păstrate în conturile deschise la Trezoreria Statului se acordă dobândă şi se pot constitui depozite la termen.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2|al6"/>
      <w:bookmarkEnd w:id="12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(6)</w:t>
      </w:r>
      <w:r w:rsidRPr="008A1582">
        <w:rPr>
          <w:rFonts w:ascii="Verdana" w:eastAsia="Times New Roman" w:hAnsi="Verdana" w:cs="Times New Roman"/>
          <w:lang w:eastAsia="ro-RO"/>
        </w:rPr>
        <w:t>Excedentul anual rezultat din execuţia bugetului de venituri şi cheltuieli şi dobânzile aferente se reportează în anul următor cu aceeaşi destinaţie, conform prevederilor legale în vigoare.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2|al7"/>
      <w:bookmarkEnd w:id="13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(7)</w:t>
      </w:r>
      <w:r w:rsidRPr="008A1582">
        <w:rPr>
          <w:rFonts w:ascii="Verdana" w:eastAsia="Times New Roman" w:hAnsi="Verdana" w:cs="Times New Roman"/>
          <w:lang w:eastAsia="ro-RO"/>
        </w:rPr>
        <w:t>Execuţia de casă a bugetului de venituri şi cheltuieli al activităţilor prevăzute la art. 1 alin. (1) se realizează prin Trezoreria Statului, conform prevederilor legale în vigoare.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2|al8"/>
      <w:bookmarkEnd w:id="14"/>
      <w:r w:rsidRPr="008A1582">
        <w:rPr>
          <w:rFonts w:ascii="Verdana" w:eastAsia="Times New Roman" w:hAnsi="Verdana" w:cs="Times New Roman"/>
          <w:b/>
          <w:bCs/>
          <w:color w:val="008F00"/>
          <w:lang w:eastAsia="ro-RO"/>
        </w:rPr>
        <w:t>(8)</w:t>
      </w:r>
      <w:r w:rsidRPr="008A1582">
        <w:rPr>
          <w:rFonts w:ascii="Verdana" w:eastAsia="Times New Roman" w:hAnsi="Verdana" w:cs="Times New Roman"/>
          <w:lang w:eastAsia="ro-RO"/>
        </w:rPr>
        <w:t>Raportarea execuţiei de casă a bugetului de venituri şi cheltuieli al activităţilor prevăzute la art. 1 alin. (1) se efectuează în conformitate cu prevederile legale în vigoare.</w:t>
      </w:r>
    </w:p>
    <w:p w:rsid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</w:p>
    <w:p w:rsid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8A1582">
        <w:rPr>
          <w:rFonts w:ascii="Verdana" w:eastAsia="Times New Roman" w:hAnsi="Verdana" w:cs="Times New Roman"/>
          <w:b/>
          <w:bCs/>
          <w:color w:val="0000AF"/>
          <w:lang w:eastAsia="ro-RO"/>
        </w:rPr>
        <w:lastRenderedPageBreak/>
        <w:t>Art. 3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3|pa1"/>
      <w:bookmarkEnd w:id="15"/>
      <w:r w:rsidRPr="008A1582">
        <w:rPr>
          <w:rFonts w:ascii="Verdana" w:eastAsia="Times New Roman" w:hAnsi="Verdana" w:cs="Times New Roman"/>
          <w:lang w:eastAsia="ro-RO"/>
        </w:rPr>
        <w:t>Modul de organizare şi desfăşurare a activităţilor prevăzute la art. 1 alin. (1) şi tariful perceput pentru prestarea acestora, fundamentat pe tip de activitate, se stabilesc prin ordin al ministrului justiţiei, care se emite în 10 zile de la intrarea în vigoare a prezentei hotărâri. Tariful perceput, fundamentat pe tip de activitate, se actualizează anual cu indicele inflaţiei.</w:t>
      </w:r>
    </w:p>
    <w:p w:rsid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pa3"/>
      <w:bookmarkEnd w:id="16"/>
    </w:p>
    <w:p w:rsid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tbl>
      <w:tblPr>
        <w:tblW w:w="9675" w:type="dxa"/>
        <w:jc w:val="center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8A1582" w:rsidRPr="008A1582" w:rsidTr="008A1582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8A1582" w:rsidRPr="008A1582" w:rsidRDefault="008A1582" w:rsidP="008A1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7" w:name="do|pa4"/>
            <w:bookmarkEnd w:id="17"/>
            <w:r w:rsidRPr="008A15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:rsidR="008A1582" w:rsidRPr="008A1582" w:rsidRDefault="008A1582" w:rsidP="008A1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8A158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DACIAN JULIEN CIOLOŞ</w:t>
            </w:r>
          </w:p>
          <w:p w:rsidR="008A1582" w:rsidRPr="008A1582" w:rsidRDefault="008A1582" w:rsidP="008A1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8A15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:rsidR="008A1582" w:rsidRPr="008A1582" w:rsidRDefault="008A1582" w:rsidP="008A1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8A15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justiţiei,</w:t>
            </w:r>
          </w:p>
          <w:p w:rsidR="008A1582" w:rsidRPr="008A1582" w:rsidRDefault="008A1582" w:rsidP="008A1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8A158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Raluca Alexandra Prună</w:t>
            </w:r>
          </w:p>
          <w:p w:rsidR="008A1582" w:rsidRPr="008A1582" w:rsidRDefault="008A1582" w:rsidP="008A1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8A158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finanţelor publice,</w:t>
            </w:r>
          </w:p>
          <w:p w:rsidR="008A1582" w:rsidRDefault="008A1582" w:rsidP="008A1582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8A158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Anca Dana Dragu</w:t>
            </w:r>
          </w:p>
          <w:p w:rsidR="00E857A0" w:rsidRDefault="00E857A0" w:rsidP="008A1582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bookmarkStart w:id="18" w:name="_GoBack"/>
            <w:bookmarkEnd w:id="18"/>
          </w:p>
          <w:p w:rsidR="008A1582" w:rsidRDefault="008A1582" w:rsidP="008A1582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  <w:p w:rsidR="008A1582" w:rsidRPr="008A1582" w:rsidRDefault="008A1582" w:rsidP="008A1582">
            <w:pPr>
              <w:spacing w:after="0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</w:tbl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pa5"/>
      <w:bookmarkEnd w:id="19"/>
      <w:r w:rsidRPr="008A1582">
        <w:rPr>
          <w:rFonts w:ascii="Verdana" w:eastAsia="Times New Roman" w:hAnsi="Verdana" w:cs="Times New Roman"/>
          <w:lang w:eastAsia="ro-RO"/>
        </w:rPr>
        <w:t>Publicat în Monitorul Oficial cu numărul 908 din data de 11 noiembrie 2016</w:t>
      </w:r>
    </w:p>
    <w:p w:rsidR="008A1582" w:rsidRPr="008A1582" w:rsidRDefault="008A1582" w:rsidP="008A158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8A1582">
        <w:rPr>
          <w:rFonts w:ascii="Verdana" w:eastAsia="Times New Roman" w:hAnsi="Verdana" w:cs="Times New Roman"/>
          <w:lang w:eastAsia="ro-RO"/>
        </w:rPr>
        <w:br/>
      </w:r>
    </w:p>
    <w:p w:rsidR="00033FD1" w:rsidRDefault="00033FD1"/>
    <w:sectPr w:rsidR="00033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2"/>
    <w:rsid w:val="00033FD1"/>
    <w:rsid w:val="00311FF6"/>
    <w:rsid w:val="00826CB2"/>
    <w:rsid w:val="008A1582"/>
    <w:rsid w:val="00D518C6"/>
    <w:rsid w:val="00E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A1582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8A1582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A1582"/>
  </w:style>
  <w:style w:type="character" w:customStyle="1" w:styleId="ar1">
    <w:name w:val="ar1"/>
    <w:basedOn w:val="Fontdeparagrafimplicit"/>
    <w:rsid w:val="008A1582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8A1582"/>
    <w:rPr>
      <w:b/>
      <w:bCs/>
      <w:color w:val="008F00"/>
    </w:rPr>
  </w:style>
  <w:style w:type="character" w:customStyle="1" w:styleId="tal1">
    <w:name w:val="tal1"/>
    <w:basedOn w:val="Fontdeparagrafimplicit"/>
    <w:rsid w:val="008A1582"/>
  </w:style>
  <w:style w:type="character" w:customStyle="1" w:styleId="li1">
    <w:name w:val="li1"/>
    <w:basedOn w:val="Fontdeparagrafimplicit"/>
    <w:rsid w:val="008A1582"/>
    <w:rPr>
      <w:b/>
      <w:bCs/>
      <w:color w:val="8F0000"/>
    </w:rPr>
  </w:style>
  <w:style w:type="character" w:customStyle="1" w:styleId="tli1">
    <w:name w:val="tli1"/>
    <w:basedOn w:val="Fontdeparagrafimplicit"/>
    <w:rsid w:val="008A1582"/>
  </w:style>
  <w:style w:type="paragraph" w:styleId="TextnBalon">
    <w:name w:val="Balloon Text"/>
    <w:basedOn w:val="Normal"/>
    <w:link w:val="TextnBalonCaracter"/>
    <w:uiPriority w:val="99"/>
    <w:semiHidden/>
    <w:unhideWhenUsed/>
    <w:rsid w:val="008A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1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A1582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8A1582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8A1582"/>
  </w:style>
  <w:style w:type="character" w:customStyle="1" w:styleId="ar1">
    <w:name w:val="ar1"/>
    <w:basedOn w:val="Fontdeparagrafimplicit"/>
    <w:rsid w:val="008A1582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8A1582"/>
    <w:rPr>
      <w:b/>
      <w:bCs/>
      <w:color w:val="008F00"/>
    </w:rPr>
  </w:style>
  <w:style w:type="character" w:customStyle="1" w:styleId="tal1">
    <w:name w:val="tal1"/>
    <w:basedOn w:val="Fontdeparagrafimplicit"/>
    <w:rsid w:val="008A1582"/>
  </w:style>
  <w:style w:type="character" w:customStyle="1" w:styleId="li1">
    <w:name w:val="li1"/>
    <w:basedOn w:val="Fontdeparagrafimplicit"/>
    <w:rsid w:val="008A1582"/>
    <w:rPr>
      <w:b/>
      <w:bCs/>
      <w:color w:val="8F0000"/>
    </w:rPr>
  </w:style>
  <w:style w:type="character" w:customStyle="1" w:styleId="tli1">
    <w:name w:val="tli1"/>
    <w:basedOn w:val="Fontdeparagrafimplicit"/>
    <w:rsid w:val="008A1582"/>
  </w:style>
  <w:style w:type="paragraph" w:styleId="TextnBalon">
    <w:name w:val="Balloon Text"/>
    <w:basedOn w:val="Normal"/>
    <w:link w:val="TextnBalonCaracter"/>
    <w:uiPriority w:val="99"/>
    <w:semiHidden/>
    <w:unhideWhenUsed/>
    <w:rsid w:val="008A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A1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23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71397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093594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72233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61135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1065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46851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69732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890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504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80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40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161514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732890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254378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815811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37271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4504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65369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9520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72855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6702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71907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666196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225247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14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14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124460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36944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87635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sintact%204.0\cache\Legislatie\temp656700\00057056.htm" TargetMode="External"/><Relationship Id="rId5" Type="http://schemas.openxmlformats.org/officeDocument/2006/relationships/hyperlink" Target="file:///C:\Users\user\sintact%204.0\cache\Legislatie\temp656700\0006839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3074</Characters>
  <Application>Microsoft Office Word</Application>
  <DocSecurity>0</DocSecurity>
  <Lines>25</Lines>
  <Paragraphs>7</Paragraphs>
  <ScaleCrop>false</ScaleCrop>
  <Company>ONRC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vlad.puscasiu</dc:creator>
  <cp:lastModifiedBy>vlad.puscasiu</cp:lastModifiedBy>
  <cp:revision>5</cp:revision>
  <dcterms:created xsi:type="dcterms:W3CDTF">2019-06-03T11:08:00Z</dcterms:created>
  <dcterms:modified xsi:type="dcterms:W3CDTF">2019-06-03T11:13:00Z</dcterms:modified>
</cp:coreProperties>
</file>